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4.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style3.xml" ContentType="application/vnd.ms-office.chart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47768999"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CF0486">
        <w:rPr>
          <w:rFonts w:ascii="Times New Roman" w:hAnsi="Times New Roman" w:cs="Times New Roman"/>
          <w:b/>
          <w:sz w:val="32"/>
          <w:szCs w:val="32"/>
        </w:rPr>
        <w:t>August</w:t>
      </w:r>
      <w:r w:rsidR="0077599B">
        <w:rPr>
          <w:rFonts w:ascii="Times New Roman" w:hAnsi="Times New Roman" w:cs="Times New Roman"/>
          <w:b/>
          <w:sz w:val="32"/>
          <w:szCs w:val="32"/>
        </w:rPr>
        <w:t xml:space="preserve"> </w:t>
      </w:r>
      <w:r w:rsidR="0009252C">
        <w:rPr>
          <w:rFonts w:ascii="Times New Roman" w:hAnsi="Times New Roman" w:cs="Times New Roman"/>
          <w:b/>
          <w:sz w:val="32"/>
          <w:szCs w:val="32"/>
        </w:rPr>
        <w:t>201</w:t>
      </w:r>
      <w:r w:rsidR="00C60426">
        <w:rPr>
          <w:rFonts w:ascii="Times New Roman" w:hAnsi="Times New Roman" w:cs="Times New Roman"/>
          <w:b/>
          <w:sz w:val="32"/>
          <w:szCs w:val="32"/>
        </w:rPr>
        <w:t>8</w:t>
      </w:r>
    </w:p>
    <w:p w14:paraId="094B0927" w14:textId="77777777" w:rsidR="00700A23" w:rsidRDefault="00700A23" w:rsidP="005F11A9">
      <w:pPr>
        <w:spacing w:after="120"/>
        <w:rPr>
          <w:rFonts w:ascii="Times New Roman" w:eastAsia="Constantia" w:hAnsi="Times New Roman" w:cs="Times New Roman"/>
        </w:rPr>
      </w:pPr>
    </w:p>
    <w:p w14:paraId="29194184" w14:textId="22A8C25B" w:rsidR="00634E93"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CF0486">
        <w:rPr>
          <w:rFonts w:ascii="Times New Roman" w:eastAsia="Constantia" w:hAnsi="Times New Roman" w:cs="Times New Roman"/>
        </w:rPr>
        <w:t>August</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 a</w:t>
      </w:r>
      <w:r w:rsidR="00634E93">
        <w:rPr>
          <w:rFonts w:ascii="Times New Roman" w:eastAsia="Constantia" w:hAnsi="Times New Roman" w:cs="Times New Roman"/>
        </w:rPr>
        <w:t xml:space="preserve"> </w:t>
      </w:r>
      <w:r w:rsidR="00712F39">
        <w:rPr>
          <w:rFonts w:ascii="Times New Roman" w:eastAsia="Constantia" w:hAnsi="Times New Roman" w:cs="Times New Roman"/>
        </w:rPr>
        <w:t xml:space="preserve">very </w:t>
      </w:r>
      <w:r w:rsidR="00232068">
        <w:rPr>
          <w:rFonts w:ascii="Times New Roman" w:eastAsia="Constantia" w:hAnsi="Times New Roman" w:cs="Times New Roman"/>
        </w:rPr>
        <w:t>slight</w:t>
      </w:r>
      <w:r w:rsidR="00DA7FBF">
        <w:rPr>
          <w:rFonts w:ascii="Times New Roman" w:eastAsia="Constantia" w:hAnsi="Times New Roman" w:cs="Times New Roman"/>
        </w:rPr>
        <w:t xml:space="preserve"> </w:t>
      </w:r>
      <w:r w:rsidR="002C1337">
        <w:rPr>
          <w:rFonts w:ascii="Times New Roman" w:eastAsia="Constantia" w:hAnsi="Times New Roman" w:cs="Times New Roman"/>
        </w:rPr>
        <w:t>decrease</w:t>
      </w:r>
      <w:r w:rsidR="00DA7FBF">
        <w:rPr>
          <w:rFonts w:ascii="Times New Roman" w:eastAsia="Constantia" w:hAnsi="Times New Roman" w:cs="Times New Roman"/>
        </w:rPr>
        <w:t xml:space="preserve"> in</w:t>
      </w:r>
      <w:r w:rsidR="00C60426">
        <w:rPr>
          <w:rFonts w:ascii="Times New Roman" w:eastAsia="Constantia" w:hAnsi="Times New Roman" w:cs="Times New Roman"/>
        </w:rPr>
        <w:t xml:space="preserve"> </w:t>
      </w:r>
      <w:r w:rsidR="002C1337">
        <w:rPr>
          <w:rFonts w:ascii="Times New Roman" w:eastAsia="Constantia" w:hAnsi="Times New Roman" w:cs="Times New Roman"/>
        </w:rPr>
        <w:t xml:space="preserve">the total number of children </w:t>
      </w:r>
      <w:r w:rsidR="00712F39">
        <w:rPr>
          <w:rFonts w:ascii="Times New Roman" w:eastAsia="Constantia" w:hAnsi="Times New Roman" w:cs="Times New Roman"/>
        </w:rPr>
        <w:t>referred to our agency as compared to the previous month.  There was however a slight increase in the number of children between the</w:t>
      </w:r>
      <w:r w:rsidR="004A3264">
        <w:rPr>
          <w:rFonts w:ascii="Times New Roman" w:eastAsia="Constantia" w:hAnsi="Times New Roman" w:cs="Times New Roman"/>
        </w:rPr>
        <w:t xml:space="preserve"> ages of </w:t>
      </w:r>
      <w:r w:rsidR="00AF3266">
        <w:rPr>
          <w:rFonts w:ascii="Times New Roman" w:eastAsia="Constantia" w:hAnsi="Times New Roman" w:cs="Times New Roman"/>
        </w:rPr>
        <w:t>12-21</w:t>
      </w:r>
      <w:r w:rsidR="004A3264">
        <w:rPr>
          <w:rFonts w:ascii="Times New Roman" w:eastAsia="Constantia" w:hAnsi="Times New Roman" w:cs="Times New Roman"/>
        </w:rPr>
        <w:t xml:space="preserve"> referred to our agency </w:t>
      </w:r>
      <w:r w:rsidR="00712F39">
        <w:rPr>
          <w:rFonts w:ascii="Times New Roman" w:eastAsia="Constantia" w:hAnsi="Times New Roman" w:cs="Times New Roman"/>
        </w:rPr>
        <w:t>as compared to last month.</w:t>
      </w:r>
      <w:r w:rsidR="00AF3266">
        <w:rPr>
          <w:rFonts w:ascii="Times New Roman" w:eastAsia="Constantia" w:hAnsi="Times New Roman" w:cs="Times New Roman"/>
        </w:rPr>
        <w:t xml:space="preserve">  Surprisingly, there was a drop in the number of younger children ages 0-8 that were referred to our agency.  It should be noted that younger children are still the majority age ranged children who are referred to our agency for placement each month.  This has been consistent since 2016 when our agency first began keeping direct statistics on placements referred to ACOA.  </w:t>
      </w:r>
      <w:r w:rsidR="00232068">
        <w:rPr>
          <w:rFonts w:ascii="Times New Roman" w:eastAsia="Constantia" w:hAnsi="Times New Roman" w:cs="Times New Roman"/>
        </w:rPr>
        <w:t xml:space="preserve">During this particular month, there were a total of </w:t>
      </w:r>
      <w:r w:rsidR="001A5A2C">
        <w:rPr>
          <w:rFonts w:ascii="Times New Roman" w:eastAsia="Constantia" w:hAnsi="Times New Roman" w:cs="Times New Roman"/>
        </w:rPr>
        <w:t>27</w:t>
      </w:r>
      <w:r w:rsidR="00AF3266">
        <w:rPr>
          <w:rFonts w:ascii="Times New Roman" w:eastAsia="Constantia" w:hAnsi="Times New Roman" w:cs="Times New Roman"/>
        </w:rPr>
        <w:t>7</w:t>
      </w:r>
      <w:r w:rsidR="00232068">
        <w:rPr>
          <w:rFonts w:ascii="Times New Roman" w:eastAsia="Constantia" w:hAnsi="Times New Roman" w:cs="Times New Roman"/>
        </w:rPr>
        <w:t xml:space="preserve"> youth referred to the agency from both Riverside and San Bernardino Counties.</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4C619577">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6B37F6EC"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CF0486">
        <w:rPr>
          <w:rFonts w:ascii="Times New Roman" w:eastAsia="Constantia" w:hAnsi="Times New Roman" w:cs="Times New Roman"/>
          <w:b/>
        </w:rPr>
        <w:t>69</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F255DC" w14:textId="476A38FC" w:rsidR="00AD59FB" w:rsidRDefault="00ED2BD6" w:rsidP="00ED2BD6">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2DE65F81" w14:textId="79EAB645" w:rsidR="00AD59FB" w:rsidRDefault="00AD59FB" w:rsidP="002C167D">
      <w:pPr>
        <w:spacing w:after="120"/>
        <w:rPr>
          <w:rFonts w:ascii="Times New Roman" w:eastAsia="Constantia" w:hAnsi="Times New Roman" w:cs="Times New Roman"/>
        </w:rPr>
      </w:pP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2B24D651">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99FCCB" w14:textId="44593668" w:rsidR="00232068"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CF0486">
        <w:rPr>
          <w:rFonts w:ascii="Times New Roman" w:eastAsia="Constantia" w:hAnsi="Times New Roman" w:cs="Times New Roman"/>
        </w:rPr>
        <w:t>August</w:t>
      </w:r>
      <w:r>
        <w:rPr>
          <w:rFonts w:ascii="Times New Roman" w:eastAsia="Constantia" w:hAnsi="Times New Roman" w:cs="Times New Roman"/>
        </w:rPr>
        <w:t>, there were</w:t>
      </w:r>
      <w:r w:rsidR="001A5A2C">
        <w:rPr>
          <w:rFonts w:ascii="Times New Roman" w:eastAsia="Constantia" w:hAnsi="Times New Roman" w:cs="Times New Roman"/>
        </w:rPr>
        <w:t xml:space="preserve"> significantly</w:t>
      </w:r>
      <w:r>
        <w:rPr>
          <w:rFonts w:ascii="Times New Roman" w:eastAsia="Constantia" w:hAnsi="Times New Roman" w:cs="Times New Roman"/>
        </w:rPr>
        <w:t xml:space="preserve"> more </w:t>
      </w:r>
      <w:r w:rsidR="00AF3266">
        <w:rPr>
          <w:rFonts w:ascii="Times New Roman" w:eastAsia="Constantia" w:hAnsi="Times New Roman" w:cs="Times New Roman"/>
        </w:rPr>
        <w:t>Caucasian</w:t>
      </w:r>
      <w:r>
        <w:rPr>
          <w:rFonts w:ascii="Times New Roman" w:eastAsia="Constantia" w:hAnsi="Times New Roman" w:cs="Times New Roman"/>
        </w:rPr>
        <w:t xml:space="preserve"> children referred to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year thus far, we have seen </w:t>
      </w:r>
      <w:r w:rsidR="00AF3266">
        <w:rPr>
          <w:rFonts w:ascii="Times New Roman" w:eastAsia="Constantia" w:hAnsi="Times New Roman" w:cs="Times New Roman"/>
        </w:rPr>
        <w:t xml:space="preserve">months </w:t>
      </w:r>
      <w:r w:rsidR="00232068">
        <w:rPr>
          <w:rFonts w:ascii="Times New Roman" w:eastAsia="Constantia" w:hAnsi="Times New Roman" w:cs="Times New Roman"/>
        </w:rPr>
        <w:t xml:space="preserve">where African American, Hispanic and Caucasian children have all tended to be the ethnicities that </w:t>
      </w:r>
      <w:r w:rsidR="0097174C">
        <w:rPr>
          <w:rFonts w:ascii="Times New Roman" w:eastAsia="Constantia" w:hAnsi="Times New Roman" w:cs="Times New Roman"/>
        </w:rPr>
        <w:t xml:space="preserve">were referred the most in each particular month of this year thus far.  </w:t>
      </w:r>
      <w:r w:rsidR="00261AB7">
        <w:rPr>
          <w:rFonts w:ascii="Times New Roman" w:eastAsia="Constantia" w:hAnsi="Times New Roman" w:cs="Times New Roman"/>
        </w:rPr>
        <w:t>However,</w:t>
      </w:r>
      <w:r w:rsidR="00AF3266">
        <w:rPr>
          <w:rFonts w:ascii="Times New Roman" w:eastAsia="Constantia" w:hAnsi="Times New Roman" w:cs="Times New Roman"/>
        </w:rPr>
        <w:t xml:space="preserve"> Hispanic children are typically the race of children who tend to be referred to the agency the most</w:t>
      </w:r>
      <w:r w:rsidR="00261AB7">
        <w:rPr>
          <w:rFonts w:ascii="Times New Roman" w:eastAsia="Constantia" w:hAnsi="Times New Roman" w:cs="Times New Roman"/>
        </w:rPr>
        <w:t xml:space="preserve"> during the year</w:t>
      </w:r>
      <w:r w:rsidR="00AF3266">
        <w:rPr>
          <w:rFonts w:ascii="Times New Roman" w:eastAsia="Constantia" w:hAnsi="Times New Roman" w:cs="Times New Roman"/>
        </w:rPr>
        <w:t xml:space="preserve"> </w:t>
      </w:r>
      <w:r w:rsidR="0077599B">
        <w:rPr>
          <w:rFonts w:ascii="Times New Roman" w:eastAsia="Constantia" w:hAnsi="Times New Roman" w:cs="Times New Roman"/>
        </w:rPr>
        <w:t>followed closely by Caucasian and African-American children.</w:t>
      </w:r>
    </w:p>
    <w:p w14:paraId="5F53C1BB" w14:textId="589D888A" w:rsidR="00C75C1C" w:rsidRDefault="00C75C1C" w:rsidP="002C167D">
      <w:pPr>
        <w:spacing w:after="120"/>
        <w:jc w:val="both"/>
        <w:rPr>
          <w:rFonts w:ascii="Times New Roman" w:eastAsia="Constantia" w:hAnsi="Times New Roman" w:cs="Times New Roman"/>
        </w:rPr>
      </w:pP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5F10E53D">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9928EA" w14:textId="3F8A27FA"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97174C">
        <w:rPr>
          <w:rFonts w:ascii="Times New Roman" w:eastAsia="Constantia" w:hAnsi="Times New Roman" w:cs="Times New Roman"/>
        </w:rPr>
        <w:t xml:space="preserve"> </w:t>
      </w:r>
      <w:r w:rsidR="006D4B1F">
        <w:rPr>
          <w:rFonts w:ascii="Times New Roman" w:eastAsia="Constantia" w:hAnsi="Times New Roman" w:cs="Times New Roman"/>
        </w:rPr>
        <w:t>decrease</w:t>
      </w:r>
      <w:r>
        <w:rPr>
          <w:rFonts w:ascii="Times New Roman" w:eastAsia="Constantia" w:hAnsi="Times New Roman" w:cs="Times New Roman"/>
        </w:rPr>
        <w:t xml:space="preserve"> in the number of males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This month also saw a significant number of females referred to the agency versus males.  </w:t>
      </w:r>
      <w:proofErr w:type="gramStart"/>
      <w:r w:rsidR="0097174C">
        <w:rPr>
          <w:rFonts w:ascii="Times New Roman" w:eastAsia="Constantia" w:hAnsi="Times New Roman" w:cs="Times New Roman"/>
        </w:rPr>
        <w:t>This</w:t>
      </w:r>
      <w:proofErr w:type="gramEnd"/>
      <w:r w:rsidR="0097174C">
        <w:rPr>
          <w:rFonts w:ascii="Times New Roman" w:eastAsia="Constantia" w:hAnsi="Times New Roman" w:cs="Times New Roman"/>
        </w:rPr>
        <w:t xml:space="preserve"> month also saw </w:t>
      </w:r>
      <w:r w:rsidR="00261AB7">
        <w:rPr>
          <w:rFonts w:ascii="Times New Roman" w:eastAsia="Constantia" w:hAnsi="Times New Roman" w:cs="Times New Roman"/>
        </w:rPr>
        <w:t>no</w:t>
      </w:r>
      <w:r w:rsidR="0097174C">
        <w:rPr>
          <w:rFonts w:ascii="Times New Roman" w:eastAsia="Constantia" w:hAnsi="Times New Roman" w:cs="Times New Roman"/>
        </w:rPr>
        <w:t xml:space="preserve"> transgender youth referred to the agency</w:t>
      </w:r>
      <w:r w:rsidR="004A3264">
        <w:rPr>
          <w:rFonts w:ascii="Times New Roman" w:eastAsia="Constantia" w:hAnsi="Times New Roman" w:cs="Times New Roman"/>
        </w:rPr>
        <w:t xml:space="preserve">.  There does continue to be one </w:t>
      </w:r>
      <w:proofErr w:type="spellStart"/>
      <w:r w:rsidR="004A3264">
        <w:rPr>
          <w:rFonts w:ascii="Times New Roman" w:eastAsia="Constantia" w:hAnsi="Times New Roman" w:cs="Times New Roman"/>
        </w:rPr>
        <w:t>trans</w:t>
      </w:r>
      <w:r w:rsidR="006D4B1F">
        <w:rPr>
          <w:rFonts w:ascii="Times New Roman" w:eastAsia="Constantia" w:hAnsi="Times New Roman" w:cs="Times New Roman"/>
        </w:rPr>
        <w:t>genered</w:t>
      </w:r>
      <w:proofErr w:type="spellEnd"/>
      <w:r w:rsidR="006D4B1F">
        <w:rPr>
          <w:rFonts w:ascii="Times New Roman" w:eastAsia="Constantia" w:hAnsi="Times New Roman" w:cs="Times New Roman"/>
        </w:rPr>
        <w:t xml:space="preserve"> </w:t>
      </w:r>
      <w:r w:rsidR="0097174C">
        <w:rPr>
          <w:rFonts w:ascii="Times New Roman" w:eastAsia="Constantia" w:hAnsi="Times New Roman" w:cs="Times New Roman"/>
        </w:rPr>
        <w:t>youth</w:t>
      </w:r>
      <w:r w:rsidR="004A3264">
        <w:rPr>
          <w:rFonts w:ascii="Times New Roman" w:eastAsia="Constantia" w:hAnsi="Times New Roman" w:cs="Times New Roman"/>
        </w:rPr>
        <w:t xml:space="preserve"> </w:t>
      </w:r>
      <w:r w:rsidR="0097174C">
        <w:rPr>
          <w:rFonts w:ascii="Times New Roman" w:eastAsia="Constantia" w:hAnsi="Times New Roman" w:cs="Times New Roman"/>
        </w:rPr>
        <w:t>placed in</w:t>
      </w:r>
      <w:r w:rsidR="004A3264">
        <w:rPr>
          <w:rFonts w:ascii="Times New Roman" w:eastAsia="Constantia" w:hAnsi="Times New Roman" w:cs="Times New Roman"/>
        </w:rPr>
        <w:t xml:space="preserve"> our agency at this time.</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4478C88C">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3716EEC3"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CF0486">
        <w:rPr>
          <w:rFonts w:ascii="Times New Roman" w:eastAsia="Constantia" w:hAnsi="Times New Roman" w:cs="Times New Roman"/>
        </w:rPr>
        <w:t>August</w:t>
      </w:r>
      <w:r w:rsidR="00B03EC0">
        <w:rPr>
          <w:rFonts w:ascii="Times New Roman" w:eastAsia="Constantia" w:hAnsi="Times New Roman" w:cs="Times New Roman"/>
        </w:rPr>
        <w:t xml:space="preserve">, there </w:t>
      </w:r>
      <w:r w:rsidR="0097174C">
        <w:rPr>
          <w:rFonts w:ascii="Times New Roman" w:eastAsia="Constantia" w:hAnsi="Times New Roman" w:cs="Times New Roman"/>
        </w:rPr>
        <w:t>w</w:t>
      </w:r>
      <w:r w:rsidR="006D4B1F">
        <w:rPr>
          <w:rFonts w:ascii="Times New Roman" w:eastAsia="Constantia" w:hAnsi="Times New Roman" w:cs="Times New Roman"/>
        </w:rPr>
        <w:t xml:space="preserve">ere </w:t>
      </w:r>
      <w:r w:rsidR="00261AB7">
        <w:rPr>
          <w:rFonts w:ascii="Times New Roman" w:eastAsia="Constantia" w:hAnsi="Times New Roman" w:cs="Times New Roman"/>
        </w:rPr>
        <w:t>only two</w:t>
      </w:r>
      <w:r w:rsidR="00B03EC0">
        <w:rPr>
          <w:rFonts w:ascii="Times New Roman" w:eastAsia="Constantia" w:hAnsi="Times New Roman" w:cs="Times New Roman"/>
        </w:rPr>
        <w:t xml:space="preserve"> Spanish only speaking child</w:t>
      </w:r>
      <w:r w:rsidR="0097174C">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children referred to placement were English</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only or </w:t>
      </w:r>
      <w:proofErr w:type="spellStart"/>
      <w:r w:rsidR="006D4B1F">
        <w:rPr>
          <w:rFonts w:ascii="Times New Roman" w:eastAsia="Constantia" w:hAnsi="Times New Roman" w:cs="Times New Roman"/>
        </w:rPr>
        <w:t>binlingual</w:t>
      </w:r>
      <w:proofErr w:type="spellEnd"/>
      <w:r w:rsidR="00B03EC0">
        <w:rPr>
          <w:rFonts w:ascii="Times New Roman" w:eastAsia="Constantia" w:hAnsi="Times New Roman" w:cs="Times New Roman"/>
        </w:rPr>
        <w:t xml:space="preserve"> speaking</w:t>
      </w:r>
      <w:r w:rsidR="006D4B1F">
        <w:rPr>
          <w:rFonts w:ascii="Times New Roman" w:eastAsia="Constantia" w:hAnsi="Times New Roman" w:cs="Times New Roman"/>
        </w:rPr>
        <w:t xml:space="preserve"> children.  </w:t>
      </w:r>
      <w:r w:rsidR="00B03EC0">
        <w:rPr>
          <w:rFonts w:ascii="Times New Roman" w:eastAsia="Constantia" w:hAnsi="Times New Roman" w:cs="Times New Roman"/>
        </w:rPr>
        <w:t>In regards to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w:t>
      </w:r>
      <w:bookmarkStart w:id="0" w:name="_GoBack"/>
      <w:bookmarkEnd w:id="0"/>
      <w:r w:rsidR="00B03EC0">
        <w:rPr>
          <w:rFonts w:ascii="Times New Roman" w:eastAsia="Constantia" w:hAnsi="Times New Roman" w:cs="Times New Roman"/>
        </w:rPr>
        <w:t>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24FFC" w14:textId="77777777" w:rsidR="002F0C2A" w:rsidRDefault="002F0C2A" w:rsidP="00CD253A">
      <w:pPr>
        <w:spacing w:after="0" w:line="240" w:lineRule="auto"/>
      </w:pPr>
      <w:r>
        <w:separator/>
      </w:r>
    </w:p>
  </w:endnote>
  <w:endnote w:type="continuationSeparator" w:id="0">
    <w:p w14:paraId="030B944B" w14:textId="77777777" w:rsidR="002F0C2A" w:rsidRDefault="002F0C2A"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675" w14:textId="5146DA74"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261AB7">
      <w:rPr>
        <w:noProof/>
        <w:color w:val="4F81BD" w:themeColor="accent1"/>
      </w:rPr>
      <w:t>August</w:t>
    </w:r>
    <w:r>
      <w:rPr>
        <w:noProof/>
        <w:color w:val="4F81BD" w:themeColor="accent1"/>
      </w:rPr>
      <w:t xml:space="preserve"> 2018</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180EF" w14:textId="77777777" w:rsidR="002F0C2A" w:rsidRDefault="002F0C2A" w:rsidP="00CD253A">
      <w:pPr>
        <w:spacing w:after="0" w:line="240" w:lineRule="auto"/>
      </w:pPr>
      <w:r>
        <w:separator/>
      </w:r>
    </w:p>
  </w:footnote>
  <w:footnote w:type="continuationSeparator" w:id="0">
    <w:p w14:paraId="4D9B8535" w14:textId="77777777" w:rsidR="002F0C2A" w:rsidRDefault="002F0C2A"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3B69"/>
    <w:rsid w:val="00027AF4"/>
    <w:rsid w:val="00034175"/>
    <w:rsid w:val="00037065"/>
    <w:rsid w:val="00056174"/>
    <w:rsid w:val="0006033C"/>
    <w:rsid w:val="00076CF8"/>
    <w:rsid w:val="0009252C"/>
    <w:rsid w:val="000954C8"/>
    <w:rsid w:val="000A4D15"/>
    <w:rsid w:val="000C5358"/>
    <w:rsid w:val="000D0414"/>
    <w:rsid w:val="001049BF"/>
    <w:rsid w:val="00117E4E"/>
    <w:rsid w:val="0012260E"/>
    <w:rsid w:val="00122A8C"/>
    <w:rsid w:val="0014710A"/>
    <w:rsid w:val="0016218D"/>
    <w:rsid w:val="001750B9"/>
    <w:rsid w:val="001837A8"/>
    <w:rsid w:val="00194404"/>
    <w:rsid w:val="001A41A4"/>
    <w:rsid w:val="001A5A2C"/>
    <w:rsid w:val="001B508C"/>
    <w:rsid w:val="001C2C4A"/>
    <w:rsid w:val="001D433F"/>
    <w:rsid w:val="001F52AA"/>
    <w:rsid w:val="00203566"/>
    <w:rsid w:val="00207805"/>
    <w:rsid w:val="00213A89"/>
    <w:rsid w:val="00224299"/>
    <w:rsid w:val="00232068"/>
    <w:rsid w:val="0024573D"/>
    <w:rsid w:val="00250138"/>
    <w:rsid w:val="002573B9"/>
    <w:rsid w:val="00261AB7"/>
    <w:rsid w:val="00274253"/>
    <w:rsid w:val="002850A8"/>
    <w:rsid w:val="00293962"/>
    <w:rsid w:val="002C1337"/>
    <w:rsid w:val="002C167D"/>
    <w:rsid w:val="002C584B"/>
    <w:rsid w:val="002F0A19"/>
    <w:rsid w:val="002F0C2A"/>
    <w:rsid w:val="002F3B0B"/>
    <w:rsid w:val="002F5351"/>
    <w:rsid w:val="00310B03"/>
    <w:rsid w:val="00314953"/>
    <w:rsid w:val="00320024"/>
    <w:rsid w:val="0032283D"/>
    <w:rsid w:val="003252AF"/>
    <w:rsid w:val="0033197D"/>
    <w:rsid w:val="0033420C"/>
    <w:rsid w:val="003479BE"/>
    <w:rsid w:val="00354C23"/>
    <w:rsid w:val="003766F5"/>
    <w:rsid w:val="003932B7"/>
    <w:rsid w:val="003B142E"/>
    <w:rsid w:val="003B391E"/>
    <w:rsid w:val="003C4E40"/>
    <w:rsid w:val="003F1747"/>
    <w:rsid w:val="003F1FE5"/>
    <w:rsid w:val="00412889"/>
    <w:rsid w:val="00426DCD"/>
    <w:rsid w:val="00431225"/>
    <w:rsid w:val="00443208"/>
    <w:rsid w:val="004513AF"/>
    <w:rsid w:val="0046396C"/>
    <w:rsid w:val="004672C9"/>
    <w:rsid w:val="00474B5C"/>
    <w:rsid w:val="00485AC2"/>
    <w:rsid w:val="00486E6D"/>
    <w:rsid w:val="004A3264"/>
    <w:rsid w:val="004A582E"/>
    <w:rsid w:val="004B1DE2"/>
    <w:rsid w:val="004B7635"/>
    <w:rsid w:val="004C5419"/>
    <w:rsid w:val="004D7F90"/>
    <w:rsid w:val="004E755F"/>
    <w:rsid w:val="005155CD"/>
    <w:rsid w:val="00562A6F"/>
    <w:rsid w:val="00571F33"/>
    <w:rsid w:val="0057311F"/>
    <w:rsid w:val="0058003C"/>
    <w:rsid w:val="0059446D"/>
    <w:rsid w:val="00597F13"/>
    <w:rsid w:val="005A0803"/>
    <w:rsid w:val="005A1A53"/>
    <w:rsid w:val="005C31B6"/>
    <w:rsid w:val="005D6507"/>
    <w:rsid w:val="005F11A9"/>
    <w:rsid w:val="005F2E18"/>
    <w:rsid w:val="00613561"/>
    <w:rsid w:val="00613C16"/>
    <w:rsid w:val="0062366A"/>
    <w:rsid w:val="006342B3"/>
    <w:rsid w:val="00634E93"/>
    <w:rsid w:val="00636B17"/>
    <w:rsid w:val="006566EF"/>
    <w:rsid w:val="00666196"/>
    <w:rsid w:val="00676E28"/>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B4F71"/>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7508B"/>
    <w:rsid w:val="00B7565D"/>
    <w:rsid w:val="00B85341"/>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F0465"/>
    <w:rsid w:val="00CF0486"/>
    <w:rsid w:val="00CF2ECC"/>
    <w:rsid w:val="00D1223B"/>
    <w:rsid w:val="00D2124A"/>
    <w:rsid w:val="00D24934"/>
    <w:rsid w:val="00D45B61"/>
    <w:rsid w:val="00D57A48"/>
    <w:rsid w:val="00D627E6"/>
    <w:rsid w:val="00D762E3"/>
    <w:rsid w:val="00D96E2C"/>
    <w:rsid w:val="00DA4622"/>
    <w:rsid w:val="00DA7FBF"/>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21290751829673976"/>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22355289421157684"/>
                  <c:y val="1.45985401459854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5.8549567531603459E-2"/>
                  <c:y val="-5.8394160583941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(69)</c:v>
                </c:pt>
                <c:pt idx="1">
                  <c:v>5-8 years (42)</c:v>
                </c:pt>
                <c:pt idx="2">
                  <c:v>9-11 years (34)</c:v>
                </c:pt>
                <c:pt idx="3">
                  <c:v>12-14 years (54)</c:v>
                </c:pt>
                <c:pt idx="4">
                  <c:v>15-17 years (57)</c:v>
                </c:pt>
                <c:pt idx="5">
                  <c:v>18+ years (21)</c:v>
                </c:pt>
              </c:strCache>
            </c:strRef>
          </c:cat>
          <c:val>
            <c:numRef>
              <c:f>Sheet1!$B$2:$B$7</c:f>
              <c:numCache>
                <c:formatCode>General</c:formatCode>
                <c:ptCount val="6"/>
                <c:pt idx="0">
                  <c:v>69</c:v>
                </c:pt>
                <c:pt idx="1">
                  <c:v>42</c:v>
                </c:pt>
                <c:pt idx="2">
                  <c:v>34</c:v>
                </c:pt>
                <c:pt idx="3">
                  <c:v>54</c:v>
                </c:pt>
                <c:pt idx="4">
                  <c:v>57</c:v>
                </c:pt>
                <c:pt idx="5">
                  <c:v>21</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(69)</c:v>
                      </c:pt>
                      <c:pt idx="1">
                        <c:v>5-8 years (42)</c:v>
                      </c:pt>
                      <c:pt idx="2">
                        <c:v>9-11 years (34)</c:v>
                      </c:pt>
                      <c:pt idx="3">
                        <c:v>12-14 years (54)</c:v>
                      </c:pt>
                      <c:pt idx="4">
                        <c:v>15-17 years (57)</c:v>
                      </c:pt>
                      <c:pt idx="5">
                        <c:v>18+ years (21)</c:v>
                      </c:pt>
                    </c:strCache>
                  </c:strRef>
                </c:cat>
                <c:val>
                  <c:numRef>
                    <c:extLst>
                      <c:ext uri="{02D57815-91ED-43cb-92C2-25804820EDAC}">
                        <c15:formulaRef>
                          <c15:sqref>Sheet1!$C$2:$C$7</c15:sqref>
                        </c15:formulaRef>
                      </c:ext>
                    </c:extLst>
                    <c:numCache>
                      <c:formatCode>General</c:formatCode>
                      <c:ptCount val="6"/>
                      <c:pt idx="0">
                        <c:v>-18</c:v>
                      </c:pt>
                      <c:pt idx="1">
                        <c:v>-6</c:v>
                      </c:pt>
                      <c:pt idx="2">
                        <c:v>-8</c:v>
                      </c:pt>
                      <c:pt idx="3">
                        <c:v>9</c:v>
                      </c:pt>
                      <c:pt idx="4">
                        <c:v>14</c:v>
                      </c:pt>
                      <c:pt idx="5">
                        <c:v>12</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0.11972789115646258"/>
                  <c:y val="-1.6916375130379505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0"/>
                  <c:y val="0.166089965397923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18503401360544217"/>
                  <c:y val="-1.845444059976934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21224489795918369"/>
                  <c:y val="-4.1522491349480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71</c:v>
                </c:pt>
                <c:pt idx="1">
                  <c:v>25</c:v>
                </c:pt>
                <c:pt idx="2">
                  <c:v>90</c:v>
                </c:pt>
                <c:pt idx="3">
                  <c:v>72</c:v>
                </c:pt>
                <c:pt idx="4">
                  <c:v>19</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-9</c:v>
                      </c:pt>
                      <c:pt idx="1">
                        <c:v>18</c:v>
                      </c:pt>
                      <c:pt idx="2">
                        <c:v>32</c:v>
                      </c:pt>
                      <c:pt idx="3">
                        <c:v>-35</c:v>
                      </c:pt>
                      <c:pt idx="4">
                        <c:v>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134</c:v>
                </c:pt>
                <c:pt idx="1">
                  <c:v>143</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-15</c:v>
                </c:pt>
                <c:pt idx="1">
                  <c:v>19</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1388888888888889"/>
                  <c:y val="-4.761904761904761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9.4907407407407413E-2"/>
                  <c:y val="-0.1230158730158730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2.5462962962962962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261</c:v>
                </c:pt>
                <c:pt idx="1">
                  <c:v>11</c:v>
                </c:pt>
                <c:pt idx="2">
                  <c:v>2</c:v>
                </c:pt>
                <c:pt idx="3">
                  <c:v>3</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5</c:v>
                </c:pt>
                <c:pt idx="1">
                  <c:v>-7</c:v>
                </c:pt>
                <c:pt idx="2">
                  <c:v>2</c:v>
                </c:pt>
                <c:pt idx="3">
                  <c:v>3</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A300A-FD29-4824-9D04-98DBDF7B0E79}">
  <ds:schemaRefs>
    <ds:schemaRef ds:uri="http://schemas.openxmlformats.org/officeDocument/2006/bibliography"/>
  </ds:schemaRefs>
</ds:datastoreItem>
</file>

<file path=customXml/itemProps2.xml><?xml version="1.0" encoding="utf-8"?>
<ds:datastoreItem xmlns:ds="http://schemas.openxmlformats.org/officeDocument/2006/customXml" ds:itemID="{2CAFDD33-1F83-4585-B636-525E474E8E1A}"/>
</file>

<file path=customXml/itemProps3.xml><?xml version="1.0" encoding="utf-8"?>
<ds:datastoreItem xmlns:ds="http://schemas.openxmlformats.org/officeDocument/2006/customXml" ds:itemID="{A28DB4E0-DFC8-4985-B67B-94F77650B819}"/>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McCoy</dc:creator>
  <cp:lastModifiedBy>David McCoy</cp:lastModifiedBy>
  <cp:revision>2</cp:revision>
  <cp:lastPrinted>2019-01-13T18:39:00Z</cp:lastPrinted>
  <dcterms:created xsi:type="dcterms:W3CDTF">2019-01-13T18:40:00Z</dcterms:created>
  <dcterms:modified xsi:type="dcterms:W3CDTF">2019-01-13T18:40:00Z</dcterms:modified>
</cp:coreProperties>
</file>