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26C1CA6F"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523F01">
        <w:rPr>
          <w:rFonts w:ascii="Times New Roman" w:hAnsi="Times New Roman" w:cs="Times New Roman"/>
          <w:b/>
          <w:sz w:val="32"/>
          <w:szCs w:val="32"/>
        </w:rPr>
        <w:t>November</w:t>
      </w:r>
      <w:r w:rsidR="008E7417">
        <w:rPr>
          <w:rFonts w:ascii="Times New Roman" w:hAnsi="Times New Roman" w:cs="Times New Roman"/>
          <w:b/>
          <w:sz w:val="32"/>
          <w:szCs w:val="32"/>
        </w:rPr>
        <w:t xml:space="preserve"> 2019</w:t>
      </w:r>
    </w:p>
    <w:p w14:paraId="094B0927" w14:textId="77777777" w:rsidR="00700A23" w:rsidRDefault="00700A23" w:rsidP="005F11A9">
      <w:pPr>
        <w:spacing w:after="120"/>
        <w:rPr>
          <w:rFonts w:ascii="Times New Roman" w:eastAsia="Constantia" w:hAnsi="Times New Roman" w:cs="Times New Roman"/>
        </w:rPr>
      </w:pPr>
    </w:p>
    <w:p w14:paraId="6A1B5F3F" w14:textId="7B7B0AF8" w:rsidR="009836E4"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523F01">
        <w:rPr>
          <w:rFonts w:ascii="Times New Roman" w:eastAsia="Constantia" w:hAnsi="Times New Roman" w:cs="Times New Roman"/>
        </w:rPr>
        <w:t>November</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 xml:space="preserve">saw </w:t>
      </w:r>
      <w:r w:rsidR="00594887">
        <w:rPr>
          <w:rFonts w:ascii="Times New Roman" w:eastAsia="Constantia" w:hAnsi="Times New Roman" w:cs="Times New Roman"/>
        </w:rPr>
        <w:t>a significant</w:t>
      </w:r>
      <w:r w:rsidR="005E1C90">
        <w:rPr>
          <w:rFonts w:ascii="Times New Roman" w:eastAsia="Constantia" w:hAnsi="Times New Roman" w:cs="Times New Roman"/>
        </w:rPr>
        <w:t xml:space="preserve"> decrease</w:t>
      </w:r>
      <w:r w:rsidR="00224B5D">
        <w:rPr>
          <w:rFonts w:ascii="Times New Roman" w:eastAsia="Constantia" w:hAnsi="Times New Roman" w:cs="Times New Roman"/>
        </w:rPr>
        <w:t xml:space="preserve"> 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911BB4">
        <w:rPr>
          <w:rFonts w:ascii="Times New Roman" w:eastAsia="Constantia" w:hAnsi="Times New Roman" w:cs="Times New Roman"/>
        </w:rPr>
        <w:t>1</w:t>
      </w:r>
      <w:r w:rsidR="00523F01">
        <w:rPr>
          <w:rFonts w:ascii="Times New Roman" w:eastAsia="Constantia" w:hAnsi="Times New Roman" w:cs="Times New Roman"/>
        </w:rPr>
        <w:t>2-14</w:t>
      </w:r>
      <w:r w:rsidR="00D2132E">
        <w:rPr>
          <w:rFonts w:ascii="Times New Roman" w:eastAsia="Constantia" w:hAnsi="Times New Roman" w:cs="Times New Roman"/>
        </w:rPr>
        <w:t xml:space="preserve"> 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particular month and that children between the ages of </w:t>
      </w:r>
      <w:r w:rsidR="00523F01">
        <w:rPr>
          <w:rFonts w:ascii="Times New Roman" w:eastAsia="Constantia" w:hAnsi="Times New Roman" w:cs="Times New Roman"/>
        </w:rPr>
        <w:t>5-8</w:t>
      </w:r>
      <w:r w:rsidR="00072D58">
        <w:rPr>
          <w:rFonts w:ascii="Times New Roman" w:eastAsia="Constantia" w:hAnsi="Times New Roman" w:cs="Times New Roman"/>
        </w:rPr>
        <w:t xml:space="preserve"> years of age far exceeded the number of children referred in comparison to all other age groups.  </w:t>
      </w:r>
      <w:r w:rsidR="009836E4">
        <w:rPr>
          <w:rFonts w:ascii="Times New Roman" w:eastAsia="Constantia" w:hAnsi="Times New Roman" w:cs="Times New Roman"/>
        </w:rPr>
        <w:t>This was observed to be a bi</w:t>
      </w:r>
      <w:r w:rsidR="002221EB">
        <w:rPr>
          <w:rFonts w:ascii="Times New Roman" w:eastAsia="Constantia" w:hAnsi="Times New Roman" w:cs="Times New Roman"/>
        </w:rPr>
        <w:t>g</w:t>
      </w:r>
      <w:r w:rsidR="009836E4">
        <w:rPr>
          <w:rFonts w:ascii="Times New Roman" w:eastAsia="Constantia" w:hAnsi="Times New Roman" w:cs="Times New Roman"/>
        </w:rPr>
        <w:t xml:space="preserve"> of a shift as previous months typically resulted in younger children being referred in the greatest numbers.  This new trend will be monitored over the course of the next several months to see if there is a greater shift towards teenagers needing placement more so than younger children.  </w:t>
      </w:r>
    </w:p>
    <w:p w14:paraId="29194184" w14:textId="79259019"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911BB4">
        <w:rPr>
          <w:rFonts w:ascii="Times New Roman" w:eastAsia="Constantia" w:hAnsi="Times New Roman" w:cs="Times New Roman"/>
        </w:rPr>
        <w:t>2</w:t>
      </w:r>
      <w:r w:rsidR="00523F01">
        <w:rPr>
          <w:rFonts w:ascii="Times New Roman" w:eastAsia="Constantia" w:hAnsi="Times New Roman" w:cs="Times New Roman"/>
        </w:rPr>
        <w:t>29</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6DC2C377">
            <wp:extent cx="4772025" cy="26860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4CFCCFBE"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523F01">
        <w:rPr>
          <w:rFonts w:ascii="Times New Roman" w:eastAsia="Constantia" w:hAnsi="Times New Roman" w:cs="Times New Roman"/>
          <w:b/>
        </w:rPr>
        <w:t>28</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23F1E5BB">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A2DC99" w14:textId="3099AEA2" w:rsidR="00B8766A"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proofErr w:type="gramStart"/>
      <w:r w:rsidR="00523F01">
        <w:rPr>
          <w:rFonts w:ascii="Times New Roman" w:eastAsia="Constantia" w:hAnsi="Times New Roman" w:cs="Times New Roman"/>
        </w:rPr>
        <w:t>November</w:t>
      </w:r>
      <w:proofErr w:type="gramEnd"/>
      <w:r w:rsidR="005E1C90">
        <w:rPr>
          <w:rFonts w:ascii="Times New Roman" w:eastAsia="Constantia" w:hAnsi="Times New Roman" w:cs="Times New Roman"/>
        </w:rPr>
        <w:t xml:space="preserve"> it was</w:t>
      </w:r>
      <w:r w:rsidR="00594887">
        <w:rPr>
          <w:rFonts w:ascii="Times New Roman" w:eastAsia="Constantia" w:hAnsi="Times New Roman" w:cs="Times New Roman"/>
        </w:rPr>
        <w:t xml:space="preserve"> continued to be noticed that</w:t>
      </w:r>
      <w:r w:rsidR="005E1C90">
        <w:rPr>
          <w:rFonts w:ascii="Times New Roman" w:eastAsia="Constantia" w:hAnsi="Times New Roman" w:cs="Times New Roman"/>
        </w:rPr>
        <w:t xml:space="preserve"> </w:t>
      </w:r>
      <w:r w:rsidR="00594887">
        <w:rPr>
          <w:rFonts w:ascii="Times New Roman" w:eastAsia="Constantia" w:hAnsi="Times New Roman" w:cs="Times New Roman"/>
        </w:rPr>
        <w:t xml:space="preserve">Hispanic children were referred in the largest number as compared to other ethnic backgrounds of children.  However, as typically the case, Caucasian and African-American children continue to be referred to in large numbers as well.  </w:t>
      </w:r>
      <w:r w:rsidR="00BD449D">
        <w:rPr>
          <w:rFonts w:ascii="Times New Roman" w:eastAsia="Constantia" w:hAnsi="Times New Roman" w:cs="Times New Roman"/>
        </w:rPr>
        <w:t>This demonstrates the need for having Resource Parents who are willing to accept children of all ethnic backgrounds into their home due to the changes in ethnic patterns of children referred to our agency for placement.</w:t>
      </w:r>
      <w:r w:rsidR="00B8766A">
        <w:rPr>
          <w:rFonts w:ascii="Times New Roman" w:eastAsia="Constantia" w:hAnsi="Times New Roman" w:cs="Times New Roman"/>
        </w:rPr>
        <w:t xml:space="preserve">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1F42997C">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504C731E"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150F18">
        <w:rPr>
          <w:rFonts w:ascii="Times New Roman" w:eastAsia="Constantia" w:hAnsi="Times New Roman" w:cs="Times New Roman"/>
        </w:rPr>
        <w:t>de</w:t>
      </w:r>
      <w:r w:rsidR="00BD449D">
        <w:rPr>
          <w:rFonts w:ascii="Times New Roman" w:eastAsia="Constantia" w:hAnsi="Times New Roman" w:cs="Times New Roman"/>
        </w:rPr>
        <w:t>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 noticed that there were also more</w:t>
      </w:r>
      <w:r w:rsidR="00587EF6">
        <w:rPr>
          <w:rFonts w:ascii="Times New Roman" w:eastAsia="Constantia" w:hAnsi="Times New Roman" w:cs="Times New Roman"/>
        </w:rPr>
        <w:t xml:space="preserve"> fe</w:t>
      </w:r>
      <w:r w:rsidR="00150F18">
        <w:rPr>
          <w:rFonts w:ascii="Times New Roman" w:eastAsia="Constantia" w:hAnsi="Times New Roman" w:cs="Times New Roman"/>
        </w:rPr>
        <w:t>males</w:t>
      </w:r>
      <w:r w:rsidR="00BD449D">
        <w:rPr>
          <w:rFonts w:ascii="Times New Roman" w:eastAsia="Constantia" w:hAnsi="Times New Roman" w:cs="Times New Roman"/>
        </w:rPr>
        <w:t xml:space="preserve"> th</w:t>
      </w:r>
      <w:r w:rsidR="00150F18">
        <w:rPr>
          <w:rFonts w:ascii="Times New Roman" w:eastAsia="Constantia" w:hAnsi="Times New Roman" w:cs="Times New Roman"/>
        </w:rPr>
        <w:t xml:space="preserve">en </w:t>
      </w:r>
      <w:r w:rsidR="00BD449D">
        <w:rPr>
          <w:rFonts w:ascii="Times New Roman" w:eastAsia="Constantia" w:hAnsi="Times New Roman" w:cs="Times New Roman"/>
        </w:rPr>
        <w:t xml:space="preserve">males who were referred to the </w:t>
      </w:r>
      <w:r w:rsidR="00BD449D">
        <w:rPr>
          <w:rFonts w:ascii="Times New Roman" w:eastAsia="Constantia" w:hAnsi="Times New Roman" w:cs="Times New Roman"/>
        </w:rPr>
        <w:lastRenderedPageBreak/>
        <w:t xml:space="preserve">agency for placement.  </w:t>
      </w:r>
      <w:r w:rsidR="00261AB7">
        <w:rPr>
          <w:rFonts w:ascii="Times New Roman" w:eastAsia="Constantia" w:hAnsi="Times New Roman" w:cs="Times New Roman"/>
        </w:rPr>
        <w:t xml:space="preserve"> </w:t>
      </w:r>
      <w:r w:rsidR="00BD449D">
        <w:rPr>
          <w:rFonts w:ascii="Times New Roman" w:eastAsia="Constantia" w:hAnsi="Times New Roman" w:cs="Times New Roman"/>
        </w:rPr>
        <w:t>The agency also</w:t>
      </w:r>
      <w:r w:rsidR="00594887">
        <w:rPr>
          <w:rFonts w:ascii="Times New Roman" w:eastAsia="Constantia" w:hAnsi="Times New Roman" w:cs="Times New Roman"/>
        </w:rPr>
        <w:t xml:space="preserve"> saw</w:t>
      </w:r>
      <w:r w:rsidR="00BD449D">
        <w:rPr>
          <w:rFonts w:ascii="Times New Roman" w:eastAsia="Constantia" w:hAnsi="Times New Roman" w:cs="Times New Roman"/>
        </w:rPr>
        <w:t xml:space="preserve"> </w:t>
      </w:r>
      <w:r w:rsidR="00150F18">
        <w:rPr>
          <w:rFonts w:ascii="Times New Roman" w:eastAsia="Constantia" w:hAnsi="Times New Roman" w:cs="Times New Roman"/>
        </w:rPr>
        <w:t>no</w:t>
      </w:r>
      <w:r w:rsidR="00BD449D">
        <w:rPr>
          <w:rFonts w:ascii="Times New Roman" w:eastAsia="Constantia" w:hAnsi="Times New Roman" w:cs="Times New Roman"/>
        </w:rPr>
        <w:t xml:space="preserve"> transgendered youth</w:t>
      </w:r>
      <w:r w:rsidR="00594887">
        <w:rPr>
          <w:rFonts w:ascii="Times New Roman" w:eastAsia="Constantia" w:hAnsi="Times New Roman" w:cs="Times New Roman"/>
        </w:rPr>
        <w:t xml:space="preserve"> being referred for placement</w:t>
      </w:r>
      <w:r w:rsidR="00BD449D">
        <w:rPr>
          <w:rFonts w:ascii="Times New Roman" w:eastAsia="Constantia" w:hAnsi="Times New Roman" w:cs="Times New Roman"/>
        </w:rPr>
        <w:t xml:space="preserve"> at this time </w:t>
      </w:r>
      <w:r w:rsidR="00184FBE">
        <w:rPr>
          <w:rFonts w:ascii="Times New Roman" w:eastAsia="Constantia" w:hAnsi="Times New Roman" w:cs="Times New Roman"/>
        </w:rPr>
        <w:t>to any of the Resource Families currently approved by A Coming of Age FFA.</w:t>
      </w:r>
      <w:r w:rsidR="00BD449D">
        <w:rPr>
          <w:rFonts w:ascii="Times New Roman" w:eastAsia="Constantia" w:hAnsi="Times New Roman" w:cs="Times New Roman"/>
        </w:rPr>
        <w:t xml:space="preserve">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42068911">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747F77F1"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523F01">
        <w:rPr>
          <w:rFonts w:ascii="Times New Roman" w:eastAsia="Constantia" w:hAnsi="Times New Roman" w:cs="Times New Roman"/>
        </w:rPr>
        <w:t>November</w:t>
      </w:r>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044513">
        <w:rPr>
          <w:rFonts w:ascii="Times New Roman" w:eastAsia="Constantia" w:hAnsi="Times New Roman" w:cs="Times New Roman"/>
        </w:rPr>
        <w:t xml:space="preserve">1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7A09EB">
        <w:rPr>
          <w:rFonts w:ascii="Times New Roman" w:eastAsia="Constantia" w:hAnsi="Times New Roman" w:cs="Times New Roman"/>
        </w:rPr>
        <w:t>13</w:t>
      </w:r>
      <w:r w:rsidR="00FD783F">
        <w:rPr>
          <w:rFonts w:ascii="Times New Roman" w:eastAsia="Constantia" w:hAnsi="Times New Roman" w:cs="Times New Roman"/>
        </w:rPr>
        <w:t xml:space="preserve"> 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044513">
        <w:rPr>
          <w:rFonts w:ascii="Times New Roman" w:eastAsia="Constantia" w:hAnsi="Times New Roman" w:cs="Times New Roman"/>
        </w:rPr>
        <w:t>2</w:t>
      </w:r>
      <w:r w:rsidR="007A09EB">
        <w:rPr>
          <w:rFonts w:ascii="Times New Roman" w:eastAsia="Constantia" w:hAnsi="Times New Roman" w:cs="Times New Roman"/>
        </w:rPr>
        <w:t>02</w:t>
      </w:r>
      <w:r w:rsidR="00FD783F">
        <w:rPr>
          <w:rFonts w:ascii="Times New Roman" w:eastAsia="Constantia" w:hAnsi="Times New Roman" w:cs="Times New Roman"/>
        </w:rPr>
        <w:t xml:space="preserve"> 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9EBF6" w14:textId="77777777" w:rsidR="00A36320" w:rsidRDefault="00A36320" w:rsidP="00CD253A">
      <w:pPr>
        <w:spacing w:after="0" w:line="240" w:lineRule="auto"/>
      </w:pPr>
      <w:r>
        <w:separator/>
      </w:r>
    </w:p>
  </w:endnote>
  <w:endnote w:type="continuationSeparator" w:id="0">
    <w:p w14:paraId="608F5C49" w14:textId="77777777" w:rsidR="00A36320" w:rsidRDefault="00A36320"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057C5A57"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5E1C90">
      <w:rPr>
        <w:noProof/>
        <w:color w:val="4F81BD" w:themeColor="accent1"/>
      </w:rPr>
      <w:t>November 2019</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38661" w14:textId="77777777" w:rsidR="00A36320" w:rsidRDefault="00A36320" w:rsidP="00CD253A">
      <w:pPr>
        <w:spacing w:after="0" w:line="240" w:lineRule="auto"/>
      </w:pPr>
      <w:r>
        <w:separator/>
      </w:r>
    </w:p>
  </w:footnote>
  <w:footnote w:type="continuationSeparator" w:id="0">
    <w:p w14:paraId="22063CFE" w14:textId="77777777" w:rsidR="00A36320" w:rsidRDefault="00A36320"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9252C"/>
    <w:rsid w:val="000954C8"/>
    <w:rsid w:val="000A4521"/>
    <w:rsid w:val="000A4D15"/>
    <w:rsid w:val="000C0304"/>
    <w:rsid w:val="000C5358"/>
    <w:rsid w:val="000D0414"/>
    <w:rsid w:val="000D562F"/>
    <w:rsid w:val="001049BF"/>
    <w:rsid w:val="00117E4E"/>
    <w:rsid w:val="0012260E"/>
    <w:rsid w:val="00122A8C"/>
    <w:rsid w:val="0014710A"/>
    <w:rsid w:val="00150F18"/>
    <w:rsid w:val="0016218D"/>
    <w:rsid w:val="001750B9"/>
    <w:rsid w:val="001837A8"/>
    <w:rsid w:val="00184FBE"/>
    <w:rsid w:val="00194404"/>
    <w:rsid w:val="001A41A4"/>
    <w:rsid w:val="001A5A2C"/>
    <w:rsid w:val="001A6F69"/>
    <w:rsid w:val="001B508C"/>
    <w:rsid w:val="001C2C4A"/>
    <w:rsid w:val="001D433F"/>
    <w:rsid w:val="001F52AA"/>
    <w:rsid w:val="00203566"/>
    <w:rsid w:val="0020613E"/>
    <w:rsid w:val="00207805"/>
    <w:rsid w:val="00210375"/>
    <w:rsid w:val="00213A89"/>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12889"/>
    <w:rsid w:val="00426DCD"/>
    <w:rsid w:val="00431225"/>
    <w:rsid w:val="00431449"/>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5117D5"/>
    <w:rsid w:val="005155CD"/>
    <w:rsid w:val="00523F01"/>
    <w:rsid w:val="00553A7E"/>
    <w:rsid w:val="00562A6F"/>
    <w:rsid w:val="00571F33"/>
    <w:rsid w:val="0057311F"/>
    <w:rsid w:val="005753BA"/>
    <w:rsid w:val="0058003C"/>
    <w:rsid w:val="00587EF6"/>
    <w:rsid w:val="0059446D"/>
    <w:rsid w:val="00594887"/>
    <w:rsid w:val="00597F13"/>
    <w:rsid w:val="005A0803"/>
    <w:rsid w:val="005A1A53"/>
    <w:rsid w:val="005C31B6"/>
    <w:rsid w:val="005D4BEA"/>
    <w:rsid w:val="005D6507"/>
    <w:rsid w:val="005E1C90"/>
    <w:rsid w:val="005F11A9"/>
    <w:rsid w:val="005F27DE"/>
    <w:rsid w:val="005F2E18"/>
    <w:rsid w:val="00613561"/>
    <w:rsid w:val="00613C16"/>
    <w:rsid w:val="00621B32"/>
    <w:rsid w:val="0062366A"/>
    <w:rsid w:val="00623884"/>
    <w:rsid w:val="00624004"/>
    <w:rsid w:val="006342B3"/>
    <w:rsid w:val="00634E93"/>
    <w:rsid w:val="00636B17"/>
    <w:rsid w:val="006566EF"/>
    <w:rsid w:val="00666196"/>
    <w:rsid w:val="00676E28"/>
    <w:rsid w:val="006808CA"/>
    <w:rsid w:val="00682108"/>
    <w:rsid w:val="00685A80"/>
    <w:rsid w:val="00690A19"/>
    <w:rsid w:val="006A764D"/>
    <w:rsid w:val="006B55EF"/>
    <w:rsid w:val="006C6E1E"/>
    <w:rsid w:val="006D4B1F"/>
    <w:rsid w:val="006D515F"/>
    <w:rsid w:val="00700A23"/>
    <w:rsid w:val="00706102"/>
    <w:rsid w:val="0070692F"/>
    <w:rsid w:val="00710D95"/>
    <w:rsid w:val="00712F39"/>
    <w:rsid w:val="00712FCB"/>
    <w:rsid w:val="0071303F"/>
    <w:rsid w:val="00716BEE"/>
    <w:rsid w:val="00725E30"/>
    <w:rsid w:val="007367A7"/>
    <w:rsid w:val="00743DC7"/>
    <w:rsid w:val="00747E43"/>
    <w:rsid w:val="0075754B"/>
    <w:rsid w:val="00762A58"/>
    <w:rsid w:val="00770C72"/>
    <w:rsid w:val="007743F1"/>
    <w:rsid w:val="0077599B"/>
    <w:rsid w:val="007771CC"/>
    <w:rsid w:val="00780B1B"/>
    <w:rsid w:val="0079695B"/>
    <w:rsid w:val="007A09EB"/>
    <w:rsid w:val="007B4E19"/>
    <w:rsid w:val="007C1B9B"/>
    <w:rsid w:val="007C750D"/>
    <w:rsid w:val="007C7D50"/>
    <w:rsid w:val="007E3E2B"/>
    <w:rsid w:val="007E518A"/>
    <w:rsid w:val="007F68DA"/>
    <w:rsid w:val="00800217"/>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6447"/>
    <w:rsid w:val="009D473B"/>
    <w:rsid w:val="009F2BBE"/>
    <w:rsid w:val="00A03C72"/>
    <w:rsid w:val="00A04214"/>
    <w:rsid w:val="00A33CF3"/>
    <w:rsid w:val="00A36320"/>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342B3"/>
    <w:rsid w:val="00B57DF6"/>
    <w:rsid w:val="00B7508B"/>
    <w:rsid w:val="00B7565D"/>
    <w:rsid w:val="00B85341"/>
    <w:rsid w:val="00B8766A"/>
    <w:rsid w:val="00B87F2F"/>
    <w:rsid w:val="00B95A08"/>
    <w:rsid w:val="00BA5907"/>
    <w:rsid w:val="00BB2060"/>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96E2C"/>
    <w:rsid w:val="00DA4622"/>
    <w:rsid w:val="00DA7FBF"/>
    <w:rsid w:val="00DD1F4E"/>
    <w:rsid w:val="00DE1F76"/>
    <w:rsid w:val="00DE322F"/>
    <w:rsid w:val="00DF11C7"/>
    <w:rsid w:val="00DF6D96"/>
    <w:rsid w:val="00E14665"/>
    <w:rsid w:val="00E421A3"/>
    <w:rsid w:val="00E646E3"/>
    <w:rsid w:val="00E81F98"/>
    <w:rsid w:val="00EB1C10"/>
    <w:rsid w:val="00EB58AB"/>
    <w:rsid w:val="00EC368A"/>
    <w:rsid w:val="00EC3752"/>
    <w:rsid w:val="00ED06FB"/>
    <w:rsid w:val="00ED2BD6"/>
    <w:rsid w:val="00F04FDE"/>
    <w:rsid w:val="00F21512"/>
    <w:rsid w:val="00F30669"/>
    <w:rsid w:val="00F46013"/>
    <w:rsid w:val="00F63AD3"/>
    <w:rsid w:val="00F70CD6"/>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F37-4B06-88FC-3EC28ACF431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F37-4B06-88FC-3EC28ACF431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F37-4B06-88FC-3EC28ACF431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F37-4B06-88FC-3EC28ACF4315}"/>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F37-4B06-88FC-3EC28ACF4315}"/>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F37-4B06-88FC-3EC28ACF431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9F37-4B06-88FC-3EC28ACF4315}"/>
                </c:ext>
              </c:extLst>
            </c:dLbl>
            <c:dLbl>
              <c:idx val="1"/>
              <c:layout>
                <c:manualLayout>
                  <c:x val="7.9840319361277438E-3"/>
                  <c:y val="-0.217494089834515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9.3147039254823691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
                  <c:y val="0.1276595744680849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1.0645375914836993E-2"/>
                  <c:y val="-8.037825059101655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9F37-4B06-88FC-3EC28ACF4315}"/>
                </c:ext>
              </c:extLst>
            </c:dLbl>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0-4 years (28)</c:v>
                </c:pt>
                <c:pt idx="1">
                  <c:v>5-8 years (53)</c:v>
                </c:pt>
                <c:pt idx="2">
                  <c:v>9-11 years (34)</c:v>
                </c:pt>
                <c:pt idx="3">
                  <c:v>12-14 years (60)</c:v>
                </c:pt>
                <c:pt idx="4">
                  <c:v>15-17 years (45</c:v>
                </c:pt>
                <c:pt idx="5">
                  <c:v>18+ years (9)</c:v>
                </c:pt>
              </c:strCache>
            </c:strRef>
          </c:cat>
          <c:val>
            <c:numRef>
              <c:f>Sheet1!$B$2:$B$7</c:f>
              <c:numCache>
                <c:formatCode>General</c:formatCode>
                <c:ptCount val="6"/>
                <c:pt idx="0">
                  <c:v>28</c:v>
                </c:pt>
                <c:pt idx="1">
                  <c:v>53</c:v>
                </c:pt>
                <c:pt idx="2">
                  <c:v>34</c:v>
                </c:pt>
                <c:pt idx="3">
                  <c:v>60</c:v>
                </c:pt>
                <c:pt idx="4">
                  <c:v>45</c:v>
                </c:pt>
                <c:pt idx="5">
                  <c:v>9</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F37-4B06-88FC-3EC28ACF431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9F37-4B06-88FC-3EC28ACF431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9F37-4B06-88FC-3EC28ACF431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F37-4B06-88FC-3EC28ACF4315}"/>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F37-4B06-88FC-3EC28ACF4315}"/>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F37-4B06-88FC-3EC28ACF431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9F37-4B06-88FC-3EC28ACF431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9F37-4B06-88FC-3EC28ACF431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1-9F37-4B06-88FC-3EC28ACF431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F37-4B06-88FC-3EC28ACF4315}"/>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F37-4B06-88FC-3EC28ACF431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F37-4B06-88FC-3EC28ACF4315}"/>
                      </c:ext>
                    </c:extLst>
                  </c:dLbl>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Sheet1!$A$2:$A$7</c15:sqref>
                        </c15:formulaRef>
                      </c:ext>
                    </c:extLst>
                    <c:strCache>
                      <c:ptCount val="6"/>
                      <c:pt idx="0">
                        <c:v>0-4 years (28)</c:v>
                      </c:pt>
                      <c:pt idx="1">
                        <c:v>5-8 years (53)</c:v>
                      </c:pt>
                      <c:pt idx="2">
                        <c:v>9-11 years (34)</c:v>
                      </c:pt>
                      <c:pt idx="3">
                        <c:v>12-14 years (60)</c:v>
                      </c:pt>
                      <c:pt idx="4">
                        <c:v>15-17 years (45</c:v>
                      </c:pt>
                      <c:pt idx="5">
                        <c:v>18+ years (9)</c:v>
                      </c:pt>
                    </c:strCache>
                  </c:strRef>
                </c:cat>
                <c:val>
                  <c:numRef>
                    <c:extLst>
                      <c:ext uri="{02D57815-91ED-43cb-92C2-25804820EDAC}">
                        <c15:formulaRef>
                          <c15:sqref>Sheet1!$C$2:$C$7</c15:sqref>
                        </c15:formulaRef>
                      </c:ext>
                    </c:extLst>
                    <c:numCache>
                      <c:formatCode>General</c:formatCode>
                      <c:ptCount val="6"/>
                      <c:pt idx="0">
                        <c:v>-31</c:v>
                      </c:pt>
                      <c:pt idx="1">
                        <c:v>11</c:v>
                      </c:pt>
                      <c:pt idx="2">
                        <c:v>2</c:v>
                      </c:pt>
                      <c:pt idx="3">
                        <c:v>-3</c:v>
                      </c:pt>
                      <c:pt idx="4">
                        <c:v>-29</c:v>
                      </c:pt>
                      <c:pt idx="5">
                        <c:v>7</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7210884353741499"/>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43</c:v>
                </c:pt>
                <c:pt idx="1">
                  <c:v>21</c:v>
                </c:pt>
                <c:pt idx="2">
                  <c:v>43</c:v>
                </c:pt>
                <c:pt idx="3">
                  <c:v>82</c:v>
                </c:pt>
                <c:pt idx="4">
                  <c:v>37</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-10</c:v>
                      </c:pt>
                      <c:pt idx="1">
                        <c:v>12</c:v>
                      </c:pt>
                      <c:pt idx="2">
                        <c:v>-19</c:v>
                      </c:pt>
                      <c:pt idx="3">
                        <c:v>-16</c:v>
                      </c:pt>
                      <c:pt idx="4">
                        <c:v>-8</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110</c:v>
                </c:pt>
                <c:pt idx="1">
                  <c:v>119</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Sheet1!$C$2:$C$3</c:f>
              <c:numCache>
                <c:formatCode>General</c:formatCode>
                <c:ptCount val="2"/>
                <c:pt idx="0">
                  <c:v>-32</c:v>
                </c:pt>
                <c:pt idx="1">
                  <c:v>-11</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Sheet1!$B$2:$B$4</c:f>
              <c:numCache>
                <c:formatCode>General</c:formatCode>
                <c:ptCount val="3"/>
                <c:pt idx="0">
                  <c:v>202</c:v>
                </c:pt>
                <c:pt idx="1">
                  <c:v>13</c:v>
                </c:pt>
                <c:pt idx="2">
                  <c:v>1</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Sheet1!$C$2:$C$4</c:f>
              <c:numCache>
                <c:formatCode>General</c:formatCode>
                <c:ptCount val="3"/>
                <c:pt idx="0">
                  <c:v>-16</c:v>
                </c:pt>
                <c:pt idx="1">
                  <c:v>-16</c:v>
                </c:pt>
                <c:pt idx="2">
                  <c:v>0</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EC21B503-590A-4B9A-8354-45E385BCB13B}"/>
</file>

<file path=customXml/itemProps3.xml><?xml version="1.0" encoding="utf-8"?>
<ds:datastoreItem xmlns:ds="http://schemas.openxmlformats.org/officeDocument/2006/customXml" ds:itemID="{C55057D3-E35C-4F95-AAA3-001F3D889C57}"/>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2020-10-20T19:53:00Z</dcterms:created>
  <dcterms:modified xsi:type="dcterms:W3CDTF">2020-10-20T19:53:00Z</dcterms:modified>
</cp:coreProperties>
</file>